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cs="Arial"/>
          <w:b/>
          <w:bCs/>
          <w:smallCaps/>
          <w:color w:val="000000"/>
          <w:sz w:val="28"/>
          <w:szCs w:val="28"/>
        </w:rPr>
      </w:pPr>
      <w:r>
        <w:rPr>
          <w:rFonts w:cs="Arial"/>
          <w:b/>
          <w:bCs/>
          <w:smallCaps/>
          <w:color w:val="000000"/>
          <w:sz w:val="28"/>
          <w:szCs w:val="28"/>
        </w:rPr>
      </w:r>
    </w:p>
    <w:p>
      <w:pPr>
        <w:pStyle w:val="Normal"/>
        <w:jc w:val="center"/>
        <w:rPr>
          <w:rFonts w:ascii="Verdana" w:hAnsi="Verdana"/>
        </w:rPr>
      </w:pPr>
      <w:r>
        <w:rPr>
          <w:rFonts w:cs="Arial" w:ascii="Verdana" w:hAnsi="Verdana"/>
          <w:b/>
          <w:bCs/>
          <w:smallCaps/>
          <w:color w:val="000000"/>
          <w:sz w:val="28"/>
          <w:szCs w:val="28"/>
        </w:rPr>
        <w:t xml:space="preserve">EDITAL </w:t>
      </w:r>
    </w:p>
    <w:p>
      <w:pPr>
        <w:pStyle w:val="Normal"/>
        <w:jc w:val="center"/>
        <w:rPr>
          <w:rFonts w:ascii="Verdana" w:hAnsi="Verdana"/>
        </w:rPr>
      </w:pPr>
      <w:r>
        <w:rPr>
          <w:rFonts w:cs="Arial" w:ascii="Verdana" w:hAnsi="Verdana"/>
          <w:b/>
          <w:bCs/>
          <w:smallCaps/>
          <w:color w:val="000000"/>
          <w:sz w:val="28"/>
          <w:szCs w:val="28"/>
        </w:rPr>
        <w:t>PREGÃO ELETRÔNICO Nº 066/2025</w:t>
      </w:r>
    </w:p>
    <w:p>
      <w:pPr>
        <w:pStyle w:val="Normal"/>
        <w:jc w:val="center"/>
        <w:rPr>
          <w:rFonts w:ascii="Verdana" w:hAnsi="Verdana"/>
        </w:rPr>
      </w:pPr>
      <w:r>
        <w:rPr>
          <w:rFonts w:cs="Arial" w:ascii="Verdana" w:hAnsi="Verdana"/>
          <w:b/>
          <w:bCs/>
          <w:smallCaps/>
          <w:color w:val="000000"/>
          <w:sz w:val="28"/>
          <w:szCs w:val="28"/>
        </w:rPr>
        <w:t>(Processo Administrativo n° 006571/2025 de 09/09/2025)</w:t>
      </w:r>
    </w:p>
    <w:p>
      <w:pPr>
        <w:pStyle w:val="Normal"/>
        <w:jc w:val="center"/>
        <w:rPr>
          <w:rFonts w:ascii="Verdana" w:hAnsi="Verdana"/>
          <w:sz w:val="20"/>
          <w:szCs w:val="20"/>
        </w:rPr>
      </w:pPr>
      <w:r>
        <w:rPr>
          <w:rFonts w:ascii="Verdana" w:hAnsi="Verdana"/>
          <w:sz w:val="20"/>
          <w:szCs w:val="20"/>
        </w:rPr>
      </w:r>
    </w:p>
    <w:p>
      <w:pPr>
        <w:pStyle w:val="BodyText"/>
        <w:spacing w:before="57" w:after="57"/>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before="57" w:after="57"/>
        <w:jc w:val="both"/>
        <w:rPr>
          <w:rFonts w:ascii="Verdana" w:hAnsi="Verdana"/>
        </w:rPr>
      </w:pPr>
      <w:r>
        <w:rPr>
          <w:rFonts w:cs="Arial" w:ascii="Verdana" w:hAnsi="Verdana"/>
          <w:b/>
          <w:bCs/>
          <w:color w:val="000000"/>
          <w:sz w:val="20"/>
          <w:szCs w:val="20"/>
        </w:rPr>
        <w:t xml:space="preserve">Data da sessão: </w:t>
      </w:r>
      <w:r>
        <w:rPr>
          <w:rFonts w:cs="Arial" w:ascii="Verdana" w:hAnsi="Verdana"/>
          <w:b/>
          <w:bCs/>
          <w:color w:val="000000"/>
          <w:sz w:val="20"/>
          <w:szCs w:val="20"/>
        </w:rPr>
        <w:t>11/12</w:t>
      </w:r>
      <w:r>
        <w:rPr>
          <w:rFonts w:cs="Arial" w:ascii="Verdana" w:hAnsi="Verdana"/>
          <w:b/>
          <w:bCs/>
          <w:color w:val="000000"/>
          <w:sz w:val="20"/>
          <w:szCs w:val="20"/>
        </w:rPr>
        <w:t>/2025.</w:t>
      </w:r>
    </w:p>
    <w:p>
      <w:pPr>
        <w:pStyle w:val="Normal"/>
        <w:spacing w:before="57" w:after="57"/>
        <w:rPr>
          <w:rFonts w:ascii="Verdana" w:hAnsi="Verdana"/>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rPr>
        <w:t>DO OBJETO</w:t>
      </w:r>
    </w:p>
    <w:p>
      <w:pPr>
        <w:pStyle w:val="ListParagraph"/>
        <w:spacing w:before="57" w:after="57"/>
        <w:ind w:left="0"/>
        <w:contextualSpacing w:val="false"/>
        <w:jc w:val="both"/>
        <w:rPr>
          <w:rFonts w:ascii="Verdana" w:hAnsi="Verdana"/>
        </w:rPr>
      </w:pPr>
      <w:r>
        <w:rPr>
          <w:rFonts w:cs="Arial" w:ascii="Verdana" w:hAnsi="Verdana"/>
          <w:color w:val="000000"/>
          <w:sz w:val="20"/>
          <w:szCs w:val="20"/>
        </w:rPr>
        <w:t xml:space="preserve">1.1 O objeto da presente licitação é a </w:t>
      </w:r>
      <w:bookmarkStart w:id="1" w:name="_Hlk172626699"/>
      <w:bookmarkStart w:id="2" w:name="_Hlk172626665"/>
      <w:r>
        <w:rPr>
          <w:rFonts w:cs="Verdana" w:ascii="Verdana" w:hAnsi="Verdana"/>
          <w:b/>
          <w:bCs/>
          <w:sz w:val="20"/>
          <w:szCs w:val="20"/>
        </w:rPr>
        <w:t>Constituição de Registro de Preços</w:t>
      </w:r>
      <w:r>
        <w:rPr>
          <w:rFonts w:cs="Verdana" w:ascii="Verdana" w:hAnsi="Verdana"/>
          <w:sz w:val="20"/>
          <w:szCs w:val="20"/>
        </w:rPr>
        <w:t xml:space="preserve"> para futura e eventual aquisição de material médico hospitalar para atender as necessidades das Unidades Básicas de Saúde, através da Secretaria Municipal de Saúde, deste município</w:t>
      </w:r>
      <w:r>
        <w:rPr>
          <w:rFonts w:ascii="Verdana" w:hAnsi="Verdana"/>
          <w:iCs/>
          <w:sz w:val="20"/>
          <w:szCs w:val="20"/>
        </w:rPr>
        <w:t>, para um período de 01 (um) ano</w:t>
      </w:r>
      <w:bookmarkEnd w:id="1"/>
      <w:bookmarkEnd w:id="2"/>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before="57" w:after="57"/>
        <w:jc w:val="both"/>
        <w:rPr>
          <w:rFonts w:ascii="Verdana" w:hAnsi="Verdana"/>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before="57" w:after="57"/>
        <w:jc w:val="both"/>
        <w:rPr>
          <w:rFonts w:ascii="Verdana" w:hAnsi="Verdana"/>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sz w:val="20"/>
          <w:szCs w:val="20"/>
          <w:highlight w:val="yellow"/>
        </w:rPr>
      </w:pPr>
      <w:r>
        <w:rPr>
          <w:rFonts w:eastAsia="Batang;바탕" w:cs="Arial" w:ascii="Verdana" w:hAnsi="Verdana"/>
          <w:b/>
          <w:bCs/>
          <w:sz w:val="20"/>
          <w:szCs w:val="20"/>
          <w:highlight w:val="yellow"/>
        </w:rPr>
        <w:t xml:space="preserve">a) </w:t>
      </w:r>
      <w:r>
        <w:rPr>
          <w:rFonts w:eastAsia="Batang;바탕" w:cs="Arial" w:ascii="Verdana" w:hAnsi="Verdana"/>
          <w:sz w:val="20"/>
          <w:szCs w:val="20"/>
          <w:highlight w:val="yellow"/>
        </w:rPr>
        <w:t xml:space="preserve">A licitação correspondente aos itens 06, 07, 08, 09, 12 e 13 não ocorrerão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eastAsia="Batang;바탕" w:cs="Arial" w:ascii="Verdana" w:hAnsi="Verdana"/>
          <w:kern w:val="2"/>
          <w:sz w:val="20"/>
          <w:szCs w:val="20"/>
          <w:highlight w:val="yellow"/>
          <w:lang w:eastAsia="zh-CN" w:bidi="hi-IN"/>
        </w:rPr>
        <w:t>unitário</w:t>
      </w:r>
      <w:r>
        <w:rPr>
          <w:rFonts w:eastAsia="Batang;바탕" w:cs="Arial" w:ascii="Verdana" w:hAnsi="Verdana"/>
          <w:sz w:val="20"/>
          <w:szCs w:val="20"/>
          <w:highlight w:val="yellow"/>
        </w:rPr>
        <w:t>.</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jc w:val="both"/>
        <w:rPr>
          <w:rFonts w:ascii="Verdana" w:hAnsi="Verdana"/>
        </w:rPr>
      </w:pPr>
      <w:r>
        <w:rPr>
          <w:rFonts w:eastAsia="Batang;바탕" w:cs="Arial" w:ascii="Verdana" w:hAnsi="Verdana"/>
          <w:b/>
          <w:bCs/>
          <w:iCs/>
          <w:color w:val="000000"/>
          <w:sz w:val="20"/>
          <w:szCs w:val="20"/>
          <w:highlight w:val="yellow"/>
        </w:rPr>
        <w:t xml:space="preserve">b) </w:t>
      </w:r>
      <w:r>
        <w:rPr>
          <w:rFonts w:eastAsia="Batang;바탕" w:cs="Arial" w:ascii="Verdana" w:hAnsi="Verdana"/>
          <w:iCs/>
          <w:color w:val="000000"/>
          <w:sz w:val="20"/>
          <w:szCs w:val="20"/>
          <w:highlight w:val="yellow"/>
        </w:rPr>
        <w:t>Os demais itens da licitação ocorrerão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57" w:right="57"/>
        <w:rPr>
          <w:rFonts w:ascii="Verdana" w:hAnsi="Verdana"/>
        </w:rPr>
      </w:pPr>
      <w:r>
        <w:rPr>
          <w:rFonts w:cs="Arial" w:ascii="Verdana" w:hAnsi="Verdana"/>
        </w:rPr>
        <w:t xml:space="preserve">DO REGISTRO DE PREÇOS </w:t>
      </w:r>
    </w:p>
    <w:p>
      <w:pPr>
        <w:pStyle w:val="Normal"/>
        <w:ind w:left="57" w:right="57"/>
        <w:jc w:val="both"/>
        <w:rPr>
          <w:rFonts w:ascii="Verdana" w:hAnsi="Verdana"/>
        </w:rPr>
      </w:pPr>
      <w:r>
        <w:rPr>
          <w:rFonts w:cs="Arial" w:ascii="Verdana" w:hAnsi="Verdana"/>
          <w:color w:val="000000"/>
          <w:sz w:val="20"/>
          <w:szCs w:val="20"/>
        </w:rPr>
        <w:t>2.1 As regras referentes ao órgão gerenciador são as que constam da minuta de Ata de Registro de Preços.</w:t>
      </w:r>
    </w:p>
    <w:p>
      <w:pPr>
        <w:pStyle w:val="Normal"/>
        <w:ind w:left="57" w:right="57"/>
        <w:jc w:val="both"/>
        <w:rPr>
          <w:rFonts w:ascii="Verdana" w:hAnsi="Verdana"/>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ind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ind w:right="113"/>
        <w:jc w:val="both"/>
        <w:rPr>
          <w:rFonts w:ascii="Verdana" w:hAnsi="Verdana"/>
        </w:rPr>
      </w:pPr>
      <w:r>
        <w:rPr>
          <w:rFonts w:ascii="Verdana" w:hAnsi="Verdana"/>
          <w:sz w:val="20"/>
          <w:szCs w:val="20"/>
        </w:rPr>
        <w:t>3.2. Para acesso ao sistema eletrônico, os interessados em participar do Pregão deverão obter chave de identificação e senha pessoal (intransferíveis), junto ao provedor do sistema indicado neste instrumento, através de realização de cadastramento simplificado.</w:t>
      </w:r>
    </w:p>
    <w:p>
      <w:pPr>
        <w:pStyle w:val="Default"/>
        <w:ind w:right="113"/>
        <w:jc w:val="both"/>
        <w:rPr>
          <w:rFonts w:ascii="Verdana" w:hAnsi="Verdana"/>
        </w:rPr>
      </w:pPr>
      <w:r>
        <w:rPr>
          <w:rFonts w:ascii="Verdana" w:hAnsi="Verdana"/>
          <w:sz w:val="20"/>
          <w:szCs w:val="20"/>
        </w:rPr>
        <w:t>3.3. É de exclusiva responsabilidade do usuário o sigilo da senha, bem como seu uso em qualquer transação efetuada.</w:t>
      </w:r>
    </w:p>
    <w:p>
      <w:pPr>
        <w:pStyle w:val="Default"/>
        <w:ind w:right="113"/>
        <w:jc w:val="both"/>
        <w:rPr>
          <w:rFonts w:ascii="Verdana" w:hAnsi="Verdana"/>
        </w:rPr>
      </w:pPr>
      <w:r>
        <w:rPr>
          <w:rFonts w:ascii="Verdana" w:hAnsi="Verdana"/>
          <w:sz w:val="20"/>
          <w:szCs w:val="20"/>
        </w:rPr>
        <w:t>3.4 O credenciamento do licitante e de seu representante legal junto ao sistema eletrônico implica na responsabilização pelos atos praticados, devendo ser indicada pessoa com capacidade técnica para realização das transações inerentes ao certame.</w:t>
      </w:r>
    </w:p>
    <w:p>
      <w:pPr>
        <w:pStyle w:val="Default"/>
        <w:ind w:right="113"/>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ind w:right="113"/>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ind w:right="113"/>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spacing w:lineRule="auto" w:line="276"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b/>
          <w:bCs/>
          <w:shd w:fill="FFFF00" w:val="clear"/>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color w:val="FF0000"/>
        </w:rPr>
      </w:pPr>
      <w:r>
        <w:rPr>
          <w:rStyle w:val="InternetLink"/>
          <w:rFonts w:cs="Arial" w:ascii="Verdana" w:hAnsi="Verdana"/>
          <w:iCs/>
          <w:color w:val="auto"/>
          <w:sz w:val="20"/>
          <w:szCs w:val="20"/>
          <w:highlight w:val="yellow"/>
          <w:u w:val="none"/>
        </w:rPr>
        <w:t xml:space="preserve">4.2.2 A empresa que se favorecer dos benefícios concedidos às microempresas ou empresas de pequeno porte, conforme previsto neste Edital, deverá, junto à sua documentação de habilitação, apresentar </w:t>
      </w:r>
      <w:r>
        <w:rPr>
          <w:rStyle w:val="InternetLink"/>
          <w:rFonts w:cs="Arial" w:ascii="Verdana" w:hAnsi="Verdana"/>
          <w:b/>
          <w:bCs/>
          <w:iCs/>
          <w:color w:val="auto"/>
          <w:sz w:val="20"/>
          <w:szCs w:val="20"/>
          <w:highlight w:val="yellow"/>
          <w:u w:val="none"/>
        </w:rPr>
        <w:t>todas as certidões relativas a regularidade fiscal, mesmo que contenham alguma restrição, e ainda, a certidão expedida pela Junta Comercial da região sede da empresa,</w:t>
      </w:r>
      <w:r>
        <w:rPr>
          <w:rStyle w:val="InternetLink"/>
          <w:rFonts w:cs="Arial" w:ascii="Verdana" w:hAnsi="Verdana"/>
          <w:iCs/>
          <w:color w:val="auto"/>
          <w:sz w:val="20"/>
          <w:szCs w:val="20"/>
          <w:highlight w:val="yellow"/>
          <w:u w:val="none"/>
        </w:rPr>
        <w:t xml:space="preserve"> demonstrando a situação de enquadramento, </w:t>
      </w:r>
      <w:r>
        <w:rPr>
          <w:rStyle w:val="InternetLink"/>
          <w:rFonts w:cs="Arial" w:ascii="Verdana" w:hAnsi="Verdana"/>
          <w:b/>
          <w:bCs/>
          <w:iCs/>
          <w:color w:val="auto"/>
          <w:sz w:val="20"/>
          <w:szCs w:val="20"/>
          <w:highlight w:val="yellow"/>
          <w:u w:val="none"/>
        </w:rPr>
        <w:t>emitida em até 90 (noventa) dias da data de abertura deste pregão eletrônico</w:t>
      </w:r>
      <w:r>
        <w:rPr>
          <w:rStyle w:val="InternetLink"/>
          <w:rFonts w:cs="Arial" w:ascii="Verdana" w:hAnsi="Verdana"/>
          <w:iCs/>
          <w:color w:val="auto"/>
          <w:sz w:val="20"/>
          <w:szCs w:val="20"/>
          <w:highlight w:val="yellow"/>
          <w:u w:val="none"/>
        </w:rPr>
        <w:t>, sob pena de perda do direito de gozo dos referidos benefícios.</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before="57" w:after="57"/>
        <w:jc w:val="both"/>
        <w:rPr/>
      </w:pPr>
      <w:r>
        <w:rPr>
          <w:rFonts w:cs="Arial" w:ascii="Verdana" w:hAnsi="Verdana"/>
          <w:color w:val="000000"/>
          <w:sz w:val="20"/>
          <w:szCs w:val="20"/>
        </w:rPr>
        <w:t>4.3.10 Pessoas reunidas em consórcio;</w:t>
      </w:r>
    </w:p>
    <w:p>
      <w:pPr>
        <w:pStyle w:val="Normal"/>
        <w:snapToGrid w:val="false"/>
        <w:spacing w:lineRule="auto" w:line="276"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tabs>
          <w:tab w:val="clear" w:pos="708"/>
          <w:tab w:val="left" w:pos="284" w:leader="none"/>
        </w:tabs>
        <w:spacing w:before="57" w:after="57"/>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before="57" w:after="57"/>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before="57" w:after="57"/>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before="57" w:after="57"/>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before="57" w:after="57"/>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right="113"/>
        <w:jc w:val="both"/>
        <w:rPr>
          <w:rFonts w:ascii="Verdana" w:hAnsi="Verdana"/>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113" w:after="113"/>
        <w:ind w:hanging="1638" w:left="1638" w:right="113"/>
        <w:jc w:val="both"/>
        <w:rPr>
          <w:rFonts w:ascii="Verdana" w:hAnsi="Verdana"/>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113" w:after="113"/>
        <w:ind w:right="113"/>
        <w:jc w:val="both"/>
        <w:rPr>
          <w:rFonts w:ascii="Verdana" w:hAnsi="Verdana"/>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113" w:after="113"/>
        <w:ind w:hanging="0" w:left="0" w:right="113"/>
        <w:jc w:val="both"/>
        <w:rPr>
          <w:rFonts w:ascii="Verdana" w:hAnsi="Verdana"/>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113" w:after="113"/>
        <w:ind w:hanging="0" w:left="0" w:right="113"/>
        <w:jc w:val="both"/>
        <w:rPr>
          <w:rFonts w:ascii="Verdana" w:hAnsi="Verdana"/>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113" w:after="113"/>
        <w:ind w:hanging="0" w:left="0" w:right="113"/>
        <w:jc w:val="both"/>
        <w:rPr>
          <w:rFonts w:ascii="Verdana" w:hAnsi="Verdana"/>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113" w:after="0"/>
        <w:ind w:hanging="6" w:left="0" w:right="113"/>
        <w:contextualSpacing/>
        <w:jc w:val="both"/>
        <w:rPr>
          <w:rFonts w:ascii="Verdana" w:hAnsi="Verdana"/>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113" w:after="113"/>
        <w:ind w:hanging="6" w:left="0" w:right="113"/>
        <w:contextualSpacing/>
        <w:jc w:val="both"/>
        <w:rPr>
          <w:rFonts w:ascii="Verdana" w:hAnsi="Verdana"/>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113" w:after="113"/>
        <w:ind w:left="0" w:right="113"/>
        <w:contextualSpacing/>
        <w:jc w:val="both"/>
        <w:rPr>
          <w:rFonts w:ascii="Verdana" w:hAnsi="Verdana"/>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113" w:after="113"/>
        <w:ind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before="57" w:after="57"/>
        <w:ind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before="57" w:after="57"/>
        <w:ind w:left="0"/>
        <w:contextualSpacing w:val="false"/>
        <w:jc w:val="both"/>
        <w:rPr>
          <w:rFonts w:ascii="Verdana" w:hAnsi="Verdana"/>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jc w:val="both"/>
        <w:rPr>
          <w:rFonts w:ascii="Verdana" w:hAnsi="Verdana"/>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jc w:val="both"/>
        <w:rPr>
          <w:rFonts w:ascii="Verdana" w:hAnsi="Verdana"/>
        </w:rPr>
      </w:pPr>
      <w:r>
        <w:rPr>
          <w:rFonts w:ascii="Verdana" w:hAnsi="Verdana"/>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jc w:val="both"/>
        <w:rPr>
          <w:rFonts w:ascii="Verdana" w:hAnsi="Verdana"/>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left="0"/>
        <w:contextualSpacing w:val="false"/>
        <w:jc w:val="both"/>
        <w:rPr>
          <w:rFonts w:ascii="Verdana" w:hAnsi="Verdana"/>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57" w:after="57"/>
        <w:ind w:left="0"/>
        <w:contextualSpacing w:val="false"/>
        <w:jc w:val="both"/>
        <w:rPr>
          <w:rFonts w:ascii="Verdana" w:hAnsi="Verdana"/>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57" w:after="57"/>
        <w:ind w:left="0"/>
        <w:contextualSpacing w:val="false"/>
        <w:jc w:val="both"/>
        <w:rPr>
          <w:rFonts w:ascii="Verdana" w:hAnsi="Verdana" w:cs="Arial"/>
          <w:color w:val="000000"/>
        </w:rPr>
      </w:pPr>
      <w:r>
        <w:rPr>
          <w:rFonts w:cs="Arial" w:ascii="Verdana" w:hAnsi="Verdana"/>
          <w:color w:val="000000"/>
        </w:rPr>
      </w:r>
    </w:p>
    <w:p>
      <w:pPr>
        <w:pStyle w:val="Nivel01"/>
        <w:numPr>
          <w:ilvl w:val="0"/>
          <w:numId w:val="2"/>
        </w:numPr>
        <w:tabs>
          <w:tab w:val="clear" w:pos="567"/>
          <w:tab w:val="left" w:pos="517" w:leader="none"/>
        </w:tabs>
        <w:spacing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57" w:after="57"/>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300"/>
          <w:sz w:val="20"/>
          <w:u w:val="single"/>
          <w:szCs w:val="20"/>
          <w:rFonts w:cs="Arial" w:ascii="Verdana" w:hAnsi="Verdana"/>
          <w:color w:val="000080"/>
        </w:rPr>
        <w:instrText xml:space="preserve"> HYPERLINK "http://www.planalto.gov.br/ccivil_03/_ato2019-2022/2021/lei/L14133.htm" \l "art14"</w:instrText>
      </w:r>
      <w:r>
        <w:rPr>
          <w:rStyle w:val="ListLabel300"/>
          <w:sz w:val="20"/>
          <w:u w:val="single"/>
          <w:szCs w:val="20"/>
          <w:rFonts w:cs="Arial" w:ascii="Verdana" w:hAnsi="Verdana"/>
          <w:color w:val="000080"/>
        </w:rPr>
        <w:fldChar w:fldCharType="separate"/>
      </w:r>
      <w:r>
        <w:rPr>
          <w:rStyle w:val="ListLabel300"/>
          <w:rFonts w:cs="Arial" w:ascii="Verdana" w:hAnsi="Verdana"/>
          <w:color w:val="000080"/>
          <w:sz w:val="20"/>
          <w:szCs w:val="20"/>
          <w:u w:val="single"/>
        </w:rPr>
        <w:t>art. 14 da Lei nº 14.133/2021</w:t>
      </w:r>
      <w:r>
        <w:rPr>
          <w:rStyle w:val="ListLabel300"/>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300"/>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300"/>
          <w:sz w:val="20"/>
          <w:u w:val="single"/>
          <w:szCs w:val="20"/>
          <w:rFonts w:cs="Arial" w:ascii="Verdana" w:hAnsi="Verdana"/>
          <w:color w:val="000080"/>
        </w:rPr>
        <w:fldChar w:fldCharType="separate"/>
      </w:r>
      <w:r>
        <w:rPr>
          <w:rStyle w:val="ListLabel300"/>
          <w:rFonts w:cs="Arial" w:ascii="Verdana" w:hAnsi="Verdana"/>
          <w:color w:val="000080"/>
          <w:sz w:val="20"/>
          <w:szCs w:val="20"/>
          <w:u w:val="single"/>
        </w:rPr>
        <w:t>artigo 29 a 35 da IN SEGES nº 73, de 30 de setembro de 2022</w:t>
      </w:r>
      <w:r>
        <w:rPr>
          <w:rStyle w:val="ListLabel300"/>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left="0"/>
        <w:contextualSpacing w:val="false"/>
        <w:jc w:val="both"/>
        <w:rPr>
          <w:rFonts w:ascii="Verdana" w:hAnsi="Verdana"/>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left="0"/>
        <w:contextualSpacing w:val="false"/>
        <w:jc w:val="both"/>
        <w:rPr>
          <w:rFonts w:ascii="Verdana" w:hAnsi="Verdana"/>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before="57" w:after="57"/>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before="57" w:after="57"/>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301"/>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301"/>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302"/>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301"/>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val="false"/>
        <w:jc w:val="both"/>
        <w:rPr>
          <w:rFonts w:ascii="Verdana" w:hAnsi="Verdana"/>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rPr>
          <w:rFonts w:ascii="Verdana" w:hAnsi="Verdana"/>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rPr>
          <w:rFonts w:ascii="Verdana" w:hAnsi="Verdana"/>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rPr>
          <w:rFonts w:ascii="Verdana" w:hAnsi="Verdana"/>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303"/>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before="113" w:after="113"/>
        <w:jc w:val="both"/>
        <w:rPr>
          <w:rFonts w:ascii="Verdana" w:hAnsi="Verdana"/>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before="57" w:after="57"/>
        <w:jc w:val="both"/>
        <w:rPr>
          <w:rFonts w:ascii="Verdana" w:hAnsi="Verdana"/>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before="57" w:after="57"/>
        <w:ind w:hanging="0" w:left="0"/>
        <w:contextualSpacing w:val="false"/>
        <w:jc w:val="both"/>
        <w:rPr>
          <w:rFonts w:ascii="Verdana" w:hAnsi="Verdana"/>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before="57" w:after="57"/>
        <w:ind w:hanging="0" w:left="0"/>
        <w:contextualSpacing w:val="false"/>
        <w:jc w:val="both"/>
        <w:rPr>
          <w:rFonts w:ascii="Verdana" w:hAnsi="Verdana"/>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before="57" w:after="57"/>
        <w:ind w:hanging="0" w:left="0"/>
        <w:contextualSpacing w:val="false"/>
        <w:jc w:val="both"/>
        <w:rPr>
          <w:rFonts w:ascii="Verdana" w:hAnsi="Verdana"/>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before="57" w:after="57"/>
        <w:ind w:hanging="0" w:left="0"/>
        <w:contextualSpacing w:val="false"/>
        <w:jc w:val="both"/>
        <w:rPr>
          <w:rFonts w:ascii="Verdana" w:hAnsi="Verdana"/>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before="57" w:after="57"/>
        <w:ind w:hanging="0" w:left="0"/>
        <w:contextualSpacing w:val="false"/>
        <w:jc w:val="both"/>
        <w:rPr>
          <w:rFonts w:ascii="Verdana" w:hAnsi="Verdana"/>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before="57" w:after="57"/>
        <w:ind w:hanging="0" w:left="0"/>
        <w:contextualSpacing w:val="false"/>
        <w:jc w:val="both"/>
        <w:rPr>
          <w:rFonts w:ascii="Verdana" w:hAnsi="Verdana"/>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before="57" w:after="57"/>
        <w:ind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57" w:after="57"/>
        <w:ind w:hanging="0" w:left="0"/>
        <w:contextualSpacing w:val="false"/>
        <w:jc w:val="both"/>
        <w:rPr>
          <w:rFonts w:ascii="Verdana" w:hAnsi="Verdana"/>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57" w:after="57"/>
        <w:ind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lang w:eastAsia="en-US"/>
        </w:rPr>
        <w:t>DOS RECURSOS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57" w:after="57"/>
        <w:ind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before="57" w:after="57"/>
        <w:rPr>
          <w:rFonts w:ascii="Verdana" w:hAnsi="Verdana" w:cs="Arial"/>
          <w:sz w:val="20"/>
          <w:szCs w:val="20"/>
        </w:rPr>
      </w:pPr>
      <w:r>
        <w:rPr>
          <w:rFonts w:cs="Arial"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57" w:after="57"/>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57" w:right="57"/>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57" w:right="57"/>
        <w:contextualSpacing w:val="false"/>
        <w:jc w:val="both"/>
        <w:rPr>
          <w:rFonts w:ascii="Verdana" w:hAnsi="Verdana"/>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0" w:after="0"/>
        <w:ind w:hanging="0" w:left="57" w:right="57"/>
        <w:contextualSpacing w:val="false"/>
        <w:jc w:val="both"/>
        <w:rPr>
          <w:rFonts w:ascii="Verdana" w:hAnsi="Verdana"/>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57" w:right="57"/>
        <w:contextualSpacing w:val="false"/>
        <w:jc w:val="both"/>
        <w:rPr>
          <w:rFonts w:ascii="Verdana" w:hAnsi="Verdana"/>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rPr>
      </w:pPr>
      <w:r>
        <w:rPr>
          <w:rFonts w:cs="Arial" w:ascii="Verdana" w:hAnsi="Verdana"/>
          <w:b/>
          <w:bCs/>
          <w:sz w:val="20"/>
          <w:szCs w:val="20"/>
        </w:rPr>
        <w:t>15 DA ATA DE REGISTRO DE PREÇOS</w:t>
      </w:r>
    </w:p>
    <w:p>
      <w:pPr>
        <w:pStyle w:val="ListParagraph"/>
        <w:tabs>
          <w:tab w:val="clear" w:pos="708"/>
          <w:tab w:val="left" w:pos="850" w:leader="none"/>
        </w:tabs>
        <w:spacing w:before="0" w:after="0"/>
        <w:ind w:left="57" w:right="57"/>
        <w:contextualSpacing w:val="false"/>
        <w:jc w:val="both"/>
        <w:rPr>
          <w:rFonts w:ascii="Verdana" w:hAnsi="Verdana"/>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113" w:after="113"/>
        <w:ind w:left="57" w:right="57"/>
        <w:contextualSpacing w:val="false"/>
        <w:jc w:val="both"/>
        <w:rPr>
          <w:rFonts w:ascii="Verdana" w:hAnsi="Verdana"/>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113" w:after="113"/>
        <w:ind w:left="57" w:right="57"/>
        <w:contextualSpacing w:val="false"/>
        <w:jc w:val="both"/>
        <w:rPr>
          <w:rFonts w:ascii="Verdana" w:hAnsi="Verdana"/>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113" w:after="113"/>
        <w:ind w:left="57" w:right="57"/>
        <w:contextualSpacing w:val="false"/>
        <w:jc w:val="both"/>
        <w:rPr>
          <w:rFonts w:ascii="Verdana" w:hAnsi="Verdana"/>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113" w:after="113"/>
        <w:ind w:left="57" w:right="57"/>
        <w:contextualSpacing w:val="false"/>
        <w:jc w:val="both"/>
        <w:rPr>
          <w:rFonts w:ascii="Verdana" w:hAnsi="Verdana"/>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57" w:after="57"/>
        <w:ind w:left="0"/>
        <w:contextualSpacing w:val="false"/>
        <w:jc w:val="both"/>
        <w:rPr>
          <w:rFonts w:ascii="Verdana" w:hAnsi="Verdana"/>
          <w:bCs/>
          <w:sz w:val="20"/>
          <w:szCs w:val="20"/>
        </w:rPr>
      </w:pPr>
      <w:r>
        <w:rPr>
          <w:rFonts w:ascii="Verdana" w:hAnsi="Verdana"/>
          <w:bCs/>
          <w:sz w:val="20"/>
          <w:szCs w:val="20"/>
        </w:rPr>
      </w:r>
    </w:p>
    <w:p>
      <w:pPr>
        <w:pStyle w:val="Nivel01"/>
        <w:spacing w:before="57" w:after="57"/>
        <w:rPr>
          <w:rFonts w:ascii="Verdana" w:hAnsi="Verdana"/>
        </w:rPr>
      </w:pPr>
      <w:r>
        <w:rPr>
          <w:rFonts w:cs="Arial" w:ascii="Verdana" w:hAnsi="Verdana"/>
        </w:rPr>
        <w:t>16. DO REAJUSTAMENTO EM SENTIDO GERAL</w:t>
      </w:r>
    </w:p>
    <w:p>
      <w:pPr>
        <w:pStyle w:val="ListParagraph"/>
        <w:spacing w:before="57" w:after="57"/>
        <w:ind w:left="0"/>
        <w:contextualSpacing w:val="false"/>
        <w:jc w:val="both"/>
        <w:rPr>
          <w:rFonts w:ascii="Verdana" w:hAnsi="Verdana"/>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57" w:after="57"/>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17. DA ACEITAÇÃO DO OBJETO E DA FISCALIZAÇÃO</w:t>
      </w:r>
    </w:p>
    <w:p>
      <w:pPr>
        <w:pStyle w:val="ListParagraph"/>
        <w:spacing w:before="57" w:after="57"/>
        <w:ind w:left="0"/>
        <w:contextualSpacing w:val="false"/>
        <w:jc w:val="both"/>
        <w:rPr>
          <w:rFonts w:ascii="Verdana" w:hAnsi="Verdana"/>
        </w:rPr>
      </w:pPr>
      <w:r>
        <w:rPr>
          <w:rFonts w:cs="Arial" w:ascii="Verdana" w:hAnsi="Verdana"/>
          <w:color w:val="000000"/>
          <w:sz w:val="20"/>
          <w:szCs w:val="20"/>
          <w:lang w:eastAsia="en-US"/>
        </w:rPr>
        <w:t>16.1 Os critérios de recebimento e aceitação do objeto e de fiscalização estão previstos no Termo de Referência e Minuta da Ata anexos a este edital.</w:t>
      </w:r>
    </w:p>
    <w:p>
      <w:pPr>
        <w:pStyle w:val="ListParagraph"/>
        <w:spacing w:before="57" w:after="57"/>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lang w:eastAsia="en-US"/>
        </w:rPr>
        <w:t>18. DAS OBRIGAÇÕES DA CONTRATANTE E DA CONTRATADA</w:t>
      </w:r>
    </w:p>
    <w:p>
      <w:pPr>
        <w:pStyle w:val="ListParagraph"/>
        <w:spacing w:before="57" w:after="57"/>
        <w:ind w:left="0"/>
        <w:contextualSpacing w:val="false"/>
        <w:jc w:val="both"/>
        <w:rPr>
          <w:rFonts w:ascii="Verdana" w:hAnsi="Verdana"/>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before="57" w:after="57"/>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before="57" w:after="57"/>
        <w:ind w:left="0"/>
        <w:contextualSpacing w:val="false"/>
        <w:jc w:val="both"/>
        <w:rPr>
          <w:rFonts w:ascii="Verdana" w:hAnsi="Verdana"/>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before="57" w:after="57"/>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rPr>
      </w:pPr>
      <w:r>
        <w:rPr>
          <w:rFonts w:ascii="Verdana" w:hAnsi="Verdana"/>
          <w:sz w:val="20"/>
          <w:szCs w:val="20"/>
        </w:rPr>
        <w:t>20.1.6.1 Agir em conluio ou em desconformidade com a lei;</w:t>
      </w:r>
    </w:p>
    <w:p>
      <w:pPr>
        <w:pStyle w:val="Normal"/>
        <w:spacing w:before="57" w:after="57"/>
        <w:jc w:val="both"/>
        <w:rPr>
          <w:rFonts w:ascii="Verdana" w:hAnsi="Verdana"/>
        </w:rPr>
      </w:pPr>
      <w:r>
        <w:rPr>
          <w:rFonts w:ascii="Verdana" w:hAnsi="Verdana"/>
          <w:sz w:val="20"/>
          <w:szCs w:val="20"/>
        </w:rPr>
        <w:t>20.1.6.2 Induzir deliberadamente a erro no julgamento;</w:t>
      </w:r>
    </w:p>
    <w:p>
      <w:pPr>
        <w:pStyle w:val="Normal"/>
        <w:spacing w:before="57" w:after="57"/>
        <w:jc w:val="both"/>
        <w:rPr>
          <w:rFonts w:ascii="Verdana" w:hAnsi="Verdana"/>
        </w:rPr>
      </w:pPr>
      <w:r>
        <w:rPr>
          <w:rFonts w:ascii="Verdana" w:hAnsi="Verdana"/>
          <w:sz w:val="20"/>
          <w:szCs w:val="20"/>
        </w:rPr>
        <w:t>20.1.6.3 Apresentar amostra falsificada ou deteriorada;</w:t>
      </w:r>
    </w:p>
    <w:p>
      <w:pPr>
        <w:pStyle w:val="Normal"/>
        <w:spacing w:before="57" w:after="57"/>
        <w:jc w:val="both"/>
        <w:rPr>
          <w:rFonts w:ascii="Verdana" w:hAnsi="Verdana"/>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304"/>
          <w:sz w:val="20"/>
          <w:szCs w:val="20"/>
          <w:rFonts w:ascii="Verdana" w:hAnsi="Verdana"/>
          <w:color w:val="000000"/>
        </w:rPr>
        <w:instrText xml:space="preserve"> HYPERLINK "https://www.planalto.gov.br/ccivil_03/_ato2011-2014/2013/lei/l12846.htm" \l "art5"</w:instrText>
      </w:r>
      <w:r>
        <w:rPr>
          <w:rStyle w:val="ListLabel304"/>
          <w:sz w:val="20"/>
          <w:szCs w:val="20"/>
          <w:rFonts w:ascii="Verdana" w:hAnsi="Verdana"/>
          <w:color w:val="000000"/>
        </w:rPr>
        <w:fldChar w:fldCharType="separate"/>
      </w:r>
      <w:r>
        <w:rPr>
          <w:rStyle w:val="ListLabel304"/>
          <w:rFonts w:ascii="Verdana" w:hAnsi="Verdana"/>
          <w:color w:val="000000"/>
          <w:sz w:val="20"/>
          <w:szCs w:val="20"/>
        </w:rPr>
        <w:t>art. 5º da Lei n.º 12.846, de 2013</w:t>
      </w:r>
      <w:r>
        <w:rPr>
          <w:rStyle w:val="ListLabel304"/>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rPr>
      </w:pPr>
      <w:r>
        <w:rPr>
          <w:rFonts w:ascii="Verdana" w:hAnsi="Verdana"/>
        </w:rPr>
        <w:t>20.2.1 advertência;</w:t>
      </w:r>
    </w:p>
    <w:p>
      <w:pPr>
        <w:pStyle w:val="Nivel2"/>
        <w:numPr>
          <w:ilvl w:val="0"/>
          <w:numId w:val="0"/>
        </w:numPr>
        <w:spacing w:lineRule="auto" w:line="240"/>
        <w:ind w:hanging="0" w:left="0"/>
        <w:rPr>
          <w:rFonts w:ascii="Verdana" w:hAnsi="Verdana"/>
        </w:rPr>
      </w:pPr>
      <w:r>
        <w:rPr>
          <w:rFonts w:ascii="Verdana" w:hAnsi="Verdana"/>
        </w:rPr>
        <w:t>20.2.2 multa;</w:t>
      </w:r>
    </w:p>
    <w:p>
      <w:pPr>
        <w:pStyle w:val="Nivel2"/>
        <w:numPr>
          <w:ilvl w:val="0"/>
          <w:numId w:val="0"/>
        </w:numPr>
        <w:spacing w:lineRule="auto" w:line="240"/>
        <w:ind w:hanging="0" w:left="0"/>
        <w:rPr>
          <w:rFonts w:ascii="Verdana" w:hAnsi="Verdana"/>
        </w:rPr>
      </w:pPr>
      <w:r>
        <w:rPr>
          <w:rFonts w:ascii="Verdana" w:hAnsi="Verdana"/>
        </w:rPr>
        <w:t>20.2.3 impedimento de licitar e contratar e</w:t>
      </w:r>
    </w:p>
    <w:p>
      <w:pPr>
        <w:pStyle w:val="Nivel2"/>
        <w:numPr>
          <w:ilvl w:val="0"/>
          <w:numId w:val="0"/>
        </w:numPr>
        <w:spacing w:lineRule="auto" w:line="24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ind w:hanging="0" w:left="0"/>
        <w:rPr>
          <w:rFonts w:ascii="Verdana" w:hAnsi="Verdana"/>
        </w:rPr>
      </w:pPr>
      <w:r>
        <w:rPr>
          <w:rFonts w:ascii="Verdana" w:hAnsi="Verdana"/>
        </w:rPr>
        <w:t>20.3.2 as peculiaridades do caso concreto</w:t>
      </w:r>
    </w:p>
    <w:p>
      <w:pPr>
        <w:pStyle w:val="Nivel2"/>
        <w:numPr>
          <w:ilvl w:val="0"/>
          <w:numId w:val="0"/>
        </w:numPr>
        <w:spacing w:lineRule="auto" w:line="240"/>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305"/>
          <w:rFonts w:ascii="Verdana" w:hAnsi="Verdana"/>
          <w:color w:val="000000"/>
        </w:rPr>
        <w:instrText xml:space="preserve"> HYPERLINK "http://www.planalto.gov.br/ccivil_03/_ato2019-2022/2021/lei/L14133.htm" \l "art156%C2%A75"</w:instrText>
      </w:r>
      <w:r>
        <w:rPr>
          <w:rStyle w:val="ListLabel305"/>
          <w:rFonts w:ascii="Verdana" w:hAnsi="Verdana"/>
          <w:color w:val="000000"/>
        </w:rPr>
        <w:fldChar w:fldCharType="separate"/>
      </w:r>
      <w:r>
        <w:rPr>
          <w:rStyle w:val="ListLabel305"/>
          <w:rFonts w:ascii="Verdana" w:hAnsi="Verdana"/>
          <w:color w:val="000000"/>
        </w:rPr>
        <w:t>art. 156, §5º, da Lei n.º 14.133/2021</w:t>
      </w:r>
      <w:r>
        <w:rPr>
          <w:rStyle w:val="ListLabel305"/>
          <w:rFonts w:ascii="Verdana" w:hAnsi="Verdana"/>
          <w:color w:val="000000"/>
        </w:rPr>
        <w:fldChar w:fldCharType="end"/>
      </w:r>
      <w:r>
        <w:rPr>
          <w:rFonts w:ascii="Verdana" w:hAnsi="Verdana"/>
        </w:rPr>
        <w:t>.</w:t>
      </w:r>
    </w:p>
    <w:p>
      <w:pPr>
        <w:pStyle w:val="Nivel2"/>
        <w:numPr>
          <w:ilvl w:val="0"/>
          <w:numId w:val="0"/>
        </w:numPr>
        <w:spacing w:lineRule="auto" w:line="24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305"/>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57" w:after="57"/>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57" w:after="57"/>
        <w:rPr>
          <w:rFonts w:ascii="Verdana" w:hAnsi="Verdana"/>
        </w:rPr>
      </w:pPr>
      <w:r>
        <w:rPr>
          <w:rFonts w:cs="Arial" w:ascii="Verdana" w:hAnsi="Verdana"/>
        </w:rPr>
        <w:t>21. DA IMPUGNAÇÃO AO EDITAL E DO PEDIDO DE ESCLARECIMENTO</w:t>
      </w:r>
    </w:p>
    <w:p>
      <w:pPr>
        <w:pStyle w:val="ListParagraph"/>
        <w:spacing w:before="57" w:after="57"/>
        <w:ind w:left="0"/>
        <w:contextualSpacing w:val="false"/>
        <w:jc w:val="both"/>
        <w:rPr>
          <w:rFonts w:ascii="Verdana" w:hAnsi="Verdana"/>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306"/>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57" w:after="57"/>
        <w:ind w:left="0"/>
        <w:contextualSpacing w:val="false"/>
        <w:jc w:val="both"/>
        <w:rPr>
          <w:rFonts w:ascii="Verdana" w:hAnsi="Verdana"/>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57" w:after="57"/>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302"/>
            <w:rFonts w:ascii="Verdana" w:hAnsi="Verdana"/>
            <w:color w:val="000080"/>
            <w:sz w:val="20"/>
            <w:szCs w:val="20"/>
            <w:u w:val="single"/>
          </w:rPr>
          <w:t>licitacao@</w:t>
        </w:r>
      </w:hyperlink>
      <w:hyperlink r:id="rId11">
        <w:r>
          <w:rPr>
            <w:rStyle w:val="ListLabel302"/>
            <w:rFonts w:ascii="Verdana" w:hAnsi="Verdana"/>
            <w:color w:val="000080"/>
            <w:sz w:val="20"/>
            <w:szCs w:val="20"/>
            <w:u w:val="single"/>
          </w:rPr>
          <w:t>saogabriel</w:t>
        </w:r>
      </w:hyperlink>
      <w:hyperlink r:id="rId12">
        <w:r>
          <w:rPr>
            <w:rStyle w:val="ListLabel302"/>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rPr>
      </w:pPr>
      <w:r>
        <w:rPr>
          <w:rFonts w:cs="Arial" w:ascii="Verdana" w:hAnsi="Verdana"/>
          <w:color w:val="000000"/>
          <w:sz w:val="20"/>
          <w:szCs w:val="20"/>
        </w:rPr>
        <w:t>22.12.1 ANEXO I – Termo de Referência;</w:t>
      </w:r>
    </w:p>
    <w:p>
      <w:pPr>
        <w:pStyle w:val="Normal"/>
        <w:spacing w:before="57" w:after="57"/>
        <w:jc w:val="both"/>
        <w:rPr>
          <w:rFonts w:ascii="Verdana" w:hAnsi="Verdana"/>
        </w:rPr>
      </w:pPr>
      <w:r>
        <w:rPr>
          <w:rFonts w:cs="Arial" w:ascii="Verdana" w:hAnsi="Verdana"/>
          <w:color w:val="000000"/>
          <w:sz w:val="20"/>
          <w:szCs w:val="20"/>
        </w:rPr>
        <w:t>22.12.2.1 ANEXO I-1 – Estudo Técnico Preliminar;</w:t>
      </w:r>
    </w:p>
    <w:p>
      <w:pPr>
        <w:pStyle w:val="Normal"/>
        <w:spacing w:before="57" w:after="57"/>
        <w:jc w:val="both"/>
        <w:rPr>
          <w:rFonts w:ascii="Verdana" w:hAnsi="Verdana"/>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before="57" w:after="57"/>
        <w:jc w:val="both"/>
        <w:rPr>
          <w:rFonts w:ascii="Verdana" w:hAnsi="Verdana"/>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left="360"/>
        <w:jc w:val="center"/>
        <w:outlineLvl w:val="0"/>
        <w:rPr>
          <w:rFonts w:ascii="Verdana" w:hAnsi="Verdana"/>
        </w:rPr>
      </w:pPr>
      <w:r>
        <w:rPr>
          <w:rFonts w:cs="Arial" w:ascii="Verdana" w:hAnsi="Verdana"/>
          <w:color w:val="000000"/>
          <w:sz w:val="20"/>
          <w:szCs w:val="20"/>
        </w:rPr>
        <w:t>São Gabriel da Palha-ES, 18 de novembro de 2025.</w:t>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right="113"/>
        <w:jc w:val="center"/>
        <w:outlineLvl w:val="0"/>
        <w:rPr>
          <w:rFonts w:ascii="Verdana" w:hAnsi="Verdana"/>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ind w:right="113"/>
        <w:jc w:val="center"/>
        <w:outlineLvl w:val="0"/>
        <w:rPr>
          <w:rFonts w:ascii="Verdana" w:hAnsi="Verdana"/>
        </w:rPr>
      </w:pPr>
      <w:r>
        <w:rPr>
          <w:rFonts w:eastAsia="" w:cs="Arial" w:ascii="Verdana" w:hAnsi="Verdana" w:eastAsiaTheme="majorEastAsia"/>
          <w:b/>
          <w:bCs/>
          <w:color w:val="000000"/>
          <w:sz w:val="20"/>
          <w:szCs w:val="20"/>
        </w:rPr>
        <w:t>Secretário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88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3486</TotalTime>
  <Application>LibreOffice/24.2.6.2$Windows_X86_64 LibreOffice_project/ef66aa7e36a1bb8e65bfbc63aba53045a14d0871</Application>
  <AppVersion>15.0000</AppVersion>
  <Pages>16</Pages>
  <Words>8462</Words>
  <Characters>47836</Characters>
  <CharactersWithSpaces>55907</CharactersWithSpaces>
  <Paragraphs>319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2025-05-20T15:28:00Z</cp:lastPrinted>
  <dcterms:modified xsi:type="dcterms:W3CDTF">2025-11-27T14:58:52Z</dcterms:modified>
  <cp:revision>187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